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47" w:rsidRDefault="00F77E71">
      <w:pPr>
        <w:spacing w:before="73"/>
        <w:ind w:left="591" w:right="592"/>
        <w:jc w:val="center"/>
        <w:rPr>
          <w:b/>
          <w:sz w:val="24"/>
        </w:rPr>
      </w:pPr>
      <w:r>
        <w:rPr>
          <w:b/>
          <w:sz w:val="24"/>
        </w:rPr>
        <w:t>Obrazloženje prijedloga</w:t>
      </w:r>
    </w:p>
    <w:p w:rsidR="002F2D47" w:rsidRDefault="00F77E71">
      <w:pPr>
        <w:spacing w:line="242" w:lineRule="auto"/>
        <w:ind w:left="646" w:right="592"/>
        <w:jc w:val="center"/>
        <w:rPr>
          <w:b/>
        </w:rPr>
      </w:pPr>
      <w:r>
        <w:rPr>
          <w:b/>
          <w:sz w:val="24"/>
        </w:rPr>
        <w:t xml:space="preserve">Odluke </w:t>
      </w:r>
      <w:r>
        <w:rPr>
          <w:b/>
        </w:rPr>
        <w:t>o načinu pružanja javne usluge prikupljanja miješanog komunalnog otpada i biorazgradivog komunalnog otpada i usluge povezane s tom javnom uslugom</w:t>
      </w:r>
    </w:p>
    <w:p w:rsidR="002F2D47" w:rsidRDefault="002F2D47">
      <w:pPr>
        <w:pStyle w:val="Tijeloteksta"/>
        <w:spacing w:before="1"/>
        <w:ind w:left="0" w:right="0" w:firstLine="0"/>
        <w:jc w:val="left"/>
        <w:rPr>
          <w:b/>
          <w:sz w:val="23"/>
        </w:rPr>
      </w:pPr>
    </w:p>
    <w:p w:rsidR="002F2D47" w:rsidRDefault="00F77E71" w:rsidP="00F77E71">
      <w:pPr>
        <w:pStyle w:val="Tijeloteksta"/>
      </w:pPr>
      <w:r>
        <w:t>Na temelju članka 28. stavka 1. Zakona o održivom gospodarenju otpadom (Narodne novine 94/13 i 73/17) jedinica lokalne samouprave dužna je na svom području osigurati javnu uslugu prikupljanja miješanog komunalnog otpada i biorazgradivog komunalnog otpada.</w:t>
      </w:r>
    </w:p>
    <w:p w:rsidR="002F2D47" w:rsidRDefault="00F77E71" w:rsidP="00F77E71">
      <w:pPr>
        <w:pStyle w:val="Tijeloteksta"/>
        <w:tabs>
          <w:tab w:val="left" w:pos="5029"/>
        </w:tabs>
        <w:ind w:right="113"/>
      </w:pPr>
      <w:r>
        <w:t>Na</w:t>
      </w:r>
      <w:r>
        <w:rPr>
          <w:spacing w:val="13"/>
        </w:rPr>
        <w:t xml:space="preserve"> </w:t>
      </w:r>
      <w:r>
        <w:t>temelju</w:t>
      </w:r>
      <w:r>
        <w:rPr>
          <w:spacing w:val="15"/>
        </w:rPr>
        <w:t xml:space="preserve"> </w:t>
      </w:r>
      <w:r>
        <w:t>članka</w:t>
      </w:r>
      <w:r>
        <w:rPr>
          <w:spacing w:val="14"/>
        </w:rPr>
        <w:t xml:space="preserve"> </w:t>
      </w:r>
      <w:r>
        <w:t>30.</w:t>
      </w:r>
      <w:r>
        <w:rPr>
          <w:spacing w:val="14"/>
        </w:rPr>
        <w:t xml:space="preserve"> </w:t>
      </w:r>
      <w:r>
        <w:t>stavka</w:t>
      </w:r>
      <w:r>
        <w:rPr>
          <w:spacing w:val="14"/>
        </w:rPr>
        <w:t xml:space="preserve"> </w:t>
      </w:r>
      <w:r>
        <w:t>7.</w:t>
      </w:r>
      <w:r>
        <w:rPr>
          <w:spacing w:val="17"/>
        </w:rPr>
        <w:t xml:space="preserve"> </w:t>
      </w:r>
      <w:r>
        <w:t>Zakona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održivom</w:t>
      </w:r>
      <w:r>
        <w:rPr>
          <w:spacing w:val="16"/>
        </w:rPr>
        <w:t xml:space="preserve"> </w:t>
      </w:r>
      <w:r>
        <w:t>gospodarenju</w:t>
      </w:r>
      <w:r>
        <w:rPr>
          <w:spacing w:val="16"/>
        </w:rPr>
        <w:t xml:space="preserve"> </w:t>
      </w:r>
      <w:r>
        <w:t>otpadom</w:t>
      </w:r>
      <w:r>
        <w:rPr>
          <w:spacing w:val="21"/>
        </w:rPr>
        <w:t xml:space="preserve"> </w:t>
      </w:r>
      <w:r>
        <w:t>(Narodne novine</w:t>
      </w:r>
      <w:r>
        <w:rPr>
          <w:spacing w:val="-9"/>
        </w:rPr>
        <w:t xml:space="preserve"> </w:t>
      </w:r>
      <w:r>
        <w:t>94/13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73/17)</w:t>
      </w:r>
      <w:r>
        <w:rPr>
          <w:spacing w:val="-6"/>
        </w:rPr>
        <w:t xml:space="preserve"> </w:t>
      </w:r>
      <w:r>
        <w:t>predstavničko</w:t>
      </w:r>
      <w:r>
        <w:rPr>
          <w:spacing w:val="-8"/>
        </w:rPr>
        <w:t xml:space="preserve"> </w:t>
      </w:r>
      <w:r>
        <w:t>tijelo</w:t>
      </w:r>
      <w:r>
        <w:rPr>
          <w:spacing w:val="-8"/>
        </w:rPr>
        <w:t xml:space="preserve"> </w:t>
      </w:r>
      <w:r>
        <w:t>jedinice</w:t>
      </w:r>
      <w:r>
        <w:rPr>
          <w:spacing w:val="-6"/>
        </w:rPr>
        <w:t xml:space="preserve"> </w:t>
      </w:r>
      <w:r>
        <w:t>lokalne</w:t>
      </w:r>
      <w:r>
        <w:rPr>
          <w:spacing w:val="-9"/>
        </w:rPr>
        <w:t xml:space="preserve"> </w:t>
      </w:r>
      <w:r>
        <w:t>samouprave</w:t>
      </w:r>
      <w:r>
        <w:rPr>
          <w:spacing w:val="-6"/>
        </w:rPr>
        <w:t xml:space="preserve"> </w:t>
      </w:r>
      <w:r>
        <w:t>donosi</w:t>
      </w:r>
      <w:r>
        <w:rPr>
          <w:spacing w:val="-7"/>
        </w:rPr>
        <w:t xml:space="preserve"> </w:t>
      </w:r>
      <w:r>
        <w:t>odluku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načinu pružanja</w:t>
      </w:r>
      <w:r>
        <w:rPr>
          <w:spacing w:val="-7"/>
        </w:rPr>
        <w:t xml:space="preserve"> </w:t>
      </w:r>
      <w:r>
        <w:t>javnih</w:t>
      </w:r>
      <w:r>
        <w:rPr>
          <w:spacing w:val="-6"/>
        </w:rPr>
        <w:t xml:space="preserve"> </w:t>
      </w:r>
      <w:r>
        <w:t>usluga</w:t>
      </w:r>
      <w:r>
        <w:rPr>
          <w:spacing w:val="-7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roku</w:t>
      </w:r>
      <w:r>
        <w:rPr>
          <w:spacing w:val="-7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tri</w:t>
      </w:r>
      <w:r>
        <w:rPr>
          <w:spacing w:val="-6"/>
        </w:rPr>
        <w:t xml:space="preserve"> </w:t>
      </w:r>
      <w:r>
        <w:t>mjeseca</w:t>
      </w:r>
      <w:r>
        <w:rPr>
          <w:spacing w:val="-7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dana</w:t>
      </w:r>
      <w:r>
        <w:rPr>
          <w:spacing w:val="-7"/>
        </w:rPr>
        <w:t xml:space="preserve"> </w:t>
      </w:r>
      <w:r>
        <w:t>stupanja</w:t>
      </w:r>
      <w:r>
        <w:rPr>
          <w:spacing w:val="-7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snagu</w:t>
      </w:r>
      <w:r>
        <w:rPr>
          <w:spacing w:val="-6"/>
        </w:rPr>
        <w:t xml:space="preserve"> </w:t>
      </w:r>
      <w:r>
        <w:t>Uredbe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gospodarenju komunalnim  otpadom  (Narodne</w:t>
      </w:r>
      <w:r>
        <w:rPr>
          <w:spacing w:val="2"/>
        </w:rPr>
        <w:t xml:space="preserve"> </w:t>
      </w:r>
      <w:r>
        <w:t>novine</w:t>
      </w:r>
      <w:r>
        <w:rPr>
          <w:spacing w:val="41"/>
        </w:rPr>
        <w:t xml:space="preserve"> </w:t>
      </w:r>
      <w:r>
        <w:t>50/17).</w:t>
      </w:r>
      <w:r>
        <w:tab/>
        <w:t>Uredba</w:t>
      </w:r>
      <w:r>
        <w:rPr>
          <w:spacing w:val="41"/>
        </w:rPr>
        <w:t xml:space="preserve"> </w:t>
      </w:r>
      <w:r>
        <w:t>je</w:t>
      </w:r>
      <w:r>
        <w:rPr>
          <w:spacing w:val="41"/>
        </w:rPr>
        <w:t xml:space="preserve"> </w:t>
      </w:r>
      <w:r>
        <w:t>stupila</w:t>
      </w:r>
      <w:r>
        <w:rPr>
          <w:spacing w:val="41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t>snagu</w:t>
      </w:r>
      <w:r>
        <w:rPr>
          <w:spacing w:val="41"/>
        </w:rPr>
        <w:t xml:space="preserve"> </w:t>
      </w:r>
      <w:r>
        <w:t>01.</w:t>
      </w:r>
      <w:r>
        <w:rPr>
          <w:spacing w:val="41"/>
        </w:rPr>
        <w:t xml:space="preserve"> </w:t>
      </w:r>
      <w:r>
        <w:t>11.</w:t>
      </w:r>
      <w:r>
        <w:rPr>
          <w:spacing w:val="41"/>
        </w:rPr>
        <w:t xml:space="preserve"> </w:t>
      </w:r>
      <w:r>
        <w:t>2017. godine. Sukladno tome, Općina Popovac dužna je donijeti odluku o</w:t>
      </w:r>
      <w:r>
        <w:rPr>
          <w:spacing w:val="-19"/>
        </w:rPr>
        <w:t xml:space="preserve"> </w:t>
      </w:r>
      <w:r>
        <w:t>načinu</w:t>
      </w:r>
      <w:r>
        <w:rPr>
          <w:spacing w:val="-1"/>
        </w:rPr>
        <w:t xml:space="preserve"> </w:t>
      </w:r>
      <w:r>
        <w:t>pružanja javne usluge prikupljanja miješanog komunalnog otpada i biorazgradivog komunalnog</w:t>
      </w:r>
      <w:r>
        <w:rPr>
          <w:spacing w:val="-33"/>
        </w:rPr>
        <w:t xml:space="preserve"> </w:t>
      </w:r>
      <w:r>
        <w:t>otpada.</w:t>
      </w:r>
    </w:p>
    <w:p w:rsidR="002F2D47" w:rsidRDefault="00F77E71" w:rsidP="00F77E71">
      <w:pPr>
        <w:pStyle w:val="Tijeloteksta"/>
        <w:ind w:right="119"/>
      </w:pPr>
      <w:r>
        <w:t>Odluka o načinu pružanja javne usluge prikupljanja miješanog komunalnog otpada i biorazgradivog komunalnog otpada osobito sadrži:</w:t>
      </w:r>
    </w:p>
    <w:p w:rsidR="002F2D47" w:rsidRDefault="00F77E71" w:rsidP="00F77E71">
      <w:pPr>
        <w:pStyle w:val="Odlomakpopisa"/>
        <w:numPr>
          <w:ilvl w:val="0"/>
          <w:numId w:val="1"/>
        </w:numPr>
        <w:tabs>
          <w:tab w:val="left" w:pos="837"/>
        </w:tabs>
        <w:spacing w:before="2" w:line="240" w:lineRule="auto"/>
        <w:jc w:val="both"/>
      </w:pPr>
      <w:r>
        <w:t>kriterij obračuna količine</w:t>
      </w:r>
      <w:r>
        <w:rPr>
          <w:spacing w:val="-2"/>
        </w:rPr>
        <w:t xml:space="preserve"> </w:t>
      </w:r>
      <w:r>
        <w:t>otpada,</w:t>
      </w:r>
    </w:p>
    <w:p w:rsidR="002F2D47" w:rsidRDefault="00F77E71" w:rsidP="00F77E71">
      <w:pPr>
        <w:pStyle w:val="Odlomakpopisa"/>
        <w:numPr>
          <w:ilvl w:val="0"/>
          <w:numId w:val="1"/>
        </w:numPr>
        <w:tabs>
          <w:tab w:val="left" w:pos="837"/>
        </w:tabs>
        <w:spacing w:before="2"/>
        <w:jc w:val="both"/>
      </w:pPr>
      <w:r>
        <w:t>standardne veličine i druga bitna svojstva spremnika za sakupljanje</w:t>
      </w:r>
      <w:r>
        <w:rPr>
          <w:spacing w:val="-6"/>
        </w:rPr>
        <w:t xml:space="preserve"> </w:t>
      </w:r>
      <w:r>
        <w:t>otpada,</w:t>
      </w:r>
    </w:p>
    <w:p w:rsidR="002F2D47" w:rsidRDefault="00F77E71" w:rsidP="00F77E71">
      <w:pPr>
        <w:pStyle w:val="Odlomakpopisa"/>
        <w:numPr>
          <w:ilvl w:val="0"/>
          <w:numId w:val="1"/>
        </w:numPr>
        <w:tabs>
          <w:tab w:val="left" w:pos="837"/>
        </w:tabs>
        <w:jc w:val="both"/>
      </w:pPr>
      <w:r>
        <w:t>najmanju učestalost odvoza otpada prema</w:t>
      </w:r>
      <w:r>
        <w:rPr>
          <w:spacing w:val="-2"/>
        </w:rPr>
        <w:t xml:space="preserve"> </w:t>
      </w:r>
      <w:r>
        <w:t>područjima,</w:t>
      </w:r>
    </w:p>
    <w:p w:rsidR="002F2D47" w:rsidRDefault="00F77E71" w:rsidP="00F77E71">
      <w:pPr>
        <w:pStyle w:val="Odlomakpopisa"/>
        <w:numPr>
          <w:ilvl w:val="0"/>
          <w:numId w:val="1"/>
        </w:numPr>
        <w:tabs>
          <w:tab w:val="left" w:pos="837"/>
        </w:tabs>
        <w:jc w:val="both"/>
      </w:pPr>
      <w:r>
        <w:t>obračunska razdoblja kroz kalendarsku</w:t>
      </w:r>
      <w:r>
        <w:rPr>
          <w:spacing w:val="-3"/>
        </w:rPr>
        <w:t xml:space="preserve"> </w:t>
      </w:r>
      <w:r>
        <w:t>godinu,</w:t>
      </w:r>
    </w:p>
    <w:p w:rsidR="002F2D47" w:rsidRDefault="00F77E71" w:rsidP="00F77E71">
      <w:pPr>
        <w:pStyle w:val="Odlomakpopisa"/>
        <w:numPr>
          <w:ilvl w:val="0"/>
          <w:numId w:val="1"/>
        </w:numPr>
        <w:tabs>
          <w:tab w:val="left" w:pos="837"/>
        </w:tabs>
        <w:spacing w:before="2"/>
        <w:jc w:val="both"/>
      </w:pPr>
      <w:r>
        <w:t>područje pružanja javne</w:t>
      </w:r>
      <w:r>
        <w:rPr>
          <w:spacing w:val="-5"/>
        </w:rPr>
        <w:t xml:space="preserve"> </w:t>
      </w:r>
      <w:r>
        <w:t>usluge,</w:t>
      </w:r>
    </w:p>
    <w:p w:rsidR="002F2D47" w:rsidRDefault="00F77E71" w:rsidP="00F77E71">
      <w:pPr>
        <w:pStyle w:val="Odlomakpopisa"/>
        <w:numPr>
          <w:ilvl w:val="0"/>
          <w:numId w:val="1"/>
        </w:numPr>
        <w:tabs>
          <w:tab w:val="left" w:pos="837"/>
        </w:tabs>
        <w:jc w:val="both"/>
      </w:pPr>
      <w:r>
        <w:t>opći uvjeti ugovora s</w:t>
      </w:r>
      <w:r>
        <w:rPr>
          <w:spacing w:val="-2"/>
        </w:rPr>
        <w:t xml:space="preserve"> </w:t>
      </w:r>
      <w:r>
        <w:t>korisnicima,</w:t>
      </w:r>
    </w:p>
    <w:p w:rsidR="002F2D47" w:rsidRDefault="00F77E71" w:rsidP="00F77E71">
      <w:pPr>
        <w:pStyle w:val="Odlomakpopisa"/>
        <w:numPr>
          <w:ilvl w:val="0"/>
          <w:numId w:val="1"/>
        </w:numPr>
        <w:tabs>
          <w:tab w:val="left" w:pos="837"/>
        </w:tabs>
        <w:spacing w:before="1" w:line="240" w:lineRule="auto"/>
        <w:ind w:right="120"/>
        <w:jc w:val="both"/>
      </w:pPr>
      <w:r>
        <w:t xml:space="preserve">popis adresa </w:t>
      </w:r>
      <w:proofErr w:type="spellStart"/>
      <w:r>
        <w:t>reciklažnog</w:t>
      </w:r>
      <w:proofErr w:type="spellEnd"/>
      <w:r>
        <w:t xml:space="preserve"> dvorišta i naselja na području Općine Kneževi Vinogradi za koje je uspostavljeno </w:t>
      </w:r>
      <w:proofErr w:type="spellStart"/>
      <w:r>
        <w:t>reciklažno</w:t>
      </w:r>
      <w:proofErr w:type="spellEnd"/>
      <w:r>
        <w:rPr>
          <w:spacing w:val="-1"/>
        </w:rPr>
        <w:t xml:space="preserve"> </w:t>
      </w:r>
      <w:r>
        <w:t>dvorište,</w:t>
      </w:r>
    </w:p>
    <w:p w:rsidR="002F2D47" w:rsidRDefault="00F77E71" w:rsidP="00F77E71">
      <w:pPr>
        <w:pStyle w:val="Odlomakpopisa"/>
        <w:numPr>
          <w:ilvl w:val="0"/>
          <w:numId w:val="1"/>
        </w:numPr>
        <w:tabs>
          <w:tab w:val="left" w:pos="837"/>
        </w:tabs>
        <w:spacing w:line="251" w:lineRule="exact"/>
        <w:jc w:val="both"/>
      </w:pPr>
      <w:r>
        <w:t>način provedbe javne usluge i usluge povezane s javnom</w:t>
      </w:r>
      <w:r>
        <w:rPr>
          <w:spacing w:val="-11"/>
        </w:rPr>
        <w:t xml:space="preserve"> </w:t>
      </w:r>
      <w:r>
        <w:t>uslugom,</w:t>
      </w:r>
    </w:p>
    <w:p w:rsidR="002F2D47" w:rsidRDefault="00F77E71" w:rsidP="00F77E71">
      <w:pPr>
        <w:pStyle w:val="Odlomakpopisa"/>
        <w:numPr>
          <w:ilvl w:val="0"/>
          <w:numId w:val="1"/>
        </w:numPr>
        <w:tabs>
          <w:tab w:val="left" w:pos="837"/>
        </w:tabs>
        <w:spacing w:before="2" w:line="240" w:lineRule="auto"/>
        <w:ind w:right="120"/>
        <w:jc w:val="both"/>
      </w:pPr>
      <w:r>
        <w:t>način provedbe ugovora o korištenju javne usluge u slučaju nastupa posebnih okolnosti (elementarna nepogoda, katastrofa i</w:t>
      </w:r>
      <w:r>
        <w:rPr>
          <w:spacing w:val="-3"/>
        </w:rPr>
        <w:t xml:space="preserve"> </w:t>
      </w:r>
      <w:proofErr w:type="spellStart"/>
      <w:r>
        <w:t>sl</w:t>
      </w:r>
      <w:proofErr w:type="spellEnd"/>
      <w:r>
        <w:t>.),</w:t>
      </w:r>
    </w:p>
    <w:p w:rsidR="002F2D47" w:rsidRDefault="00F77E71" w:rsidP="00F77E71">
      <w:pPr>
        <w:pStyle w:val="Odlomakpopisa"/>
        <w:numPr>
          <w:ilvl w:val="0"/>
          <w:numId w:val="1"/>
        </w:numPr>
        <w:tabs>
          <w:tab w:val="left" w:pos="892"/>
        </w:tabs>
        <w:spacing w:line="240" w:lineRule="auto"/>
        <w:ind w:right="124"/>
        <w:jc w:val="both"/>
      </w:pPr>
      <w:r>
        <w:t>način podnošenja prigovora i postupanja po prigovoru građana na neugodu uzrokovanu sustavom sakupljanja komunalnog</w:t>
      </w:r>
      <w:r>
        <w:rPr>
          <w:spacing w:val="-8"/>
        </w:rPr>
        <w:t xml:space="preserve"> </w:t>
      </w:r>
      <w:r>
        <w:t>otpada</w:t>
      </w:r>
    </w:p>
    <w:p w:rsidR="002F2D47" w:rsidRDefault="00F77E71" w:rsidP="00F77E71">
      <w:pPr>
        <w:pStyle w:val="Odlomakpopisa"/>
        <w:numPr>
          <w:ilvl w:val="0"/>
          <w:numId w:val="1"/>
        </w:numPr>
        <w:tabs>
          <w:tab w:val="left" w:pos="837"/>
        </w:tabs>
        <w:spacing w:line="251" w:lineRule="exact"/>
        <w:jc w:val="both"/>
      </w:pPr>
      <w:r>
        <w:t>uvjeti za pojedinačno korištenje javne</w:t>
      </w:r>
      <w:r>
        <w:rPr>
          <w:spacing w:val="-2"/>
        </w:rPr>
        <w:t xml:space="preserve"> </w:t>
      </w:r>
      <w:r>
        <w:t>usluge,</w:t>
      </w:r>
    </w:p>
    <w:p w:rsidR="002F2D47" w:rsidRDefault="00F77E71" w:rsidP="00F77E71">
      <w:pPr>
        <w:pStyle w:val="Odlomakpopisa"/>
        <w:numPr>
          <w:ilvl w:val="0"/>
          <w:numId w:val="1"/>
        </w:numPr>
        <w:tabs>
          <w:tab w:val="left" w:pos="837"/>
        </w:tabs>
        <w:spacing w:before="1"/>
        <w:jc w:val="both"/>
      </w:pPr>
      <w:r>
        <w:t>prihvatljive dokaze izvršenja usluge za pojedinog korisnika javne</w:t>
      </w:r>
      <w:r>
        <w:rPr>
          <w:spacing w:val="-9"/>
        </w:rPr>
        <w:t xml:space="preserve"> </w:t>
      </w:r>
      <w:r>
        <w:t>usluge,</w:t>
      </w:r>
    </w:p>
    <w:p w:rsidR="002F2D47" w:rsidRDefault="00F77E71" w:rsidP="00F77E71">
      <w:pPr>
        <w:pStyle w:val="Odlomakpopisa"/>
        <w:numPr>
          <w:ilvl w:val="0"/>
          <w:numId w:val="1"/>
        </w:numPr>
        <w:tabs>
          <w:tab w:val="left" w:pos="837"/>
        </w:tabs>
        <w:jc w:val="both"/>
      </w:pPr>
      <w:r>
        <w:t>cijena obvezne minimalne javne</w:t>
      </w:r>
      <w:r>
        <w:rPr>
          <w:spacing w:val="-1"/>
        </w:rPr>
        <w:t xml:space="preserve"> </w:t>
      </w:r>
      <w:r>
        <w:t>usluge,</w:t>
      </w:r>
    </w:p>
    <w:p w:rsidR="002F2D47" w:rsidRDefault="00F77E71" w:rsidP="00F77E71">
      <w:pPr>
        <w:pStyle w:val="Odlomakpopisa"/>
        <w:numPr>
          <w:ilvl w:val="0"/>
          <w:numId w:val="1"/>
        </w:numPr>
        <w:tabs>
          <w:tab w:val="left" w:pos="837"/>
        </w:tabs>
        <w:spacing w:before="2" w:line="240" w:lineRule="auto"/>
        <w:ind w:right="115"/>
        <w:jc w:val="both"/>
      </w:pPr>
      <w:r>
        <w:t>način određivanja udjela korisnika javne usluge u slučaju kad korisnici javne usluge koriste zajednički spremnik, a nije postignut sporazum o njihovim</w:t>
      </w:r>
      <w:r>
        <w:rPr>
          <w:spacing w:val="-11"/>
        </w:rPr>
        <w:t xml:space="preserve"> </w:t>
      </w:r>
      <w:r>
        <w:t>udjelima,</w:t>
      </w:r>
    </w:p>
    <w:p w:rsidR="002F2D47" w:rsidRDefault="00F77E71" w:rsidP="00F77E71">
      <w:pPr>
        <w:pStyle w:val="Odlomakpopisa"/>
        <w:numPr>
          <w:ilvl w:val="0"/>
          <w:numId w:val="1"/>
        </w:numPr>
        <w:tabs>
          <w:tab w:val="left" w:pos="837"/>
        </w:tabs>
        <w:spacing w:before="1"/>
        <w:jc w:val="both"/>
      </w:pPr>
      <w:r>
        <w:t>ugovorna</w:t>
      </w:r>
      <w:r>
        <w:rPr>
          <w:spacing w:val="-1"/>
        </w:rPr>
        <w:t xml:space="preserve"> </w:t>
      </w:r>
      <w:r>
        <w:t>kazna,</w:t>
      </w:r>
    </w:p>
    <w:p w:rsidR="002F2D47" w:rsidRDefault="00F77E71" w:rsidP="00F77E71">
      <w:pPr>
        <w:pStyle w:val="Odlomakpopisa"/>
        <w:numPr>
          <w:ilvl w:val="0"/>
          <w:numId w:val="1"/>
        </w:numPr>
        <w:tabs>
          <w:tab w:val="left" w:pos="837"/>
        </w:tabs>
        <w:spacing w:line="240" w:lineRule="auto"/>
        <w:ind w:right="123"/>
        <w:jc w:val="both"/>
      </w:pPr>
      <w:r>
        <w:t xml:space="preserve">kriterij za određivanje korisnika javne usluge u čije </w:t>
      </w:r>
      <w:r>
        <w:rPr>
          <w:spacing w:val="-2"/>
        </w:rPr>
        <w:t xml:space="preserve">ime </w:t>
      </w:r>
      <w:r>
        <w:t>Općina Popovac  preuzima obvezu plaćanja cijene za javnu</w:t>
      </w:r>
      <w:r>
        <w:rPr>
          <w:spacing w:val="-3"/>
        </w:rPr>
        <w:t xml:space="preserve"> </w:t>
      </w:r>
      <w:r>
        <w:t>uslugu,</w:t>
      </w:r>
    </w:p>
    <w:p w:rsidR="002F2D47" w:rsidRDefault="00F77E71" w:rsidP="00F77E71">
      <w:pPr>
        <w:pStyle w:val="Odlomakpopisa"/>
        <w:numPr>
          <w:ilvl w:val="0"/>
          <w:numId w:val="1"/>
        </w:numPr>
        <w:tabs>
          <w:tab w:val="left" w:pos="837"/>
        </w:tabs>
        <w:spacing w:line="240" w:lineRule="auto"/>
        <w:ind w:right="119"/>
        <w:jc w:val="both"/>
      </w:pPr>
      <w:r>
        <w:t>korištenje javne površine za prikupljanje otpada, količina krupnog (glomaznog) otpada (u daljnjem tekstu: glomazni otpad) koja se preuzima u okviru usluge</w:t>
      </w:r>
      <w:r>
        <w:rPr>
          <w:spacing w:val="-6"/>
        </w:rPr>
        <w:t xml:space="preserve"> </w:t>
      </w:r>
      <w:r>
        <w:t>i</w:t>
      </w:r>
    </w:p>
    <w:p w:rsidR="002F2D47" w:rsidRDefault="00F77E71" w:rsidP="00F77E71">
      <w:pPr>
        <w:pStyle w:val="Odlomakpopisa"/>
        <w:numPr>
          <w:ilvl w:val="0"/>
          <w:numId w:val="1"/>
        </w:numPr>
        <w:tabs>
          <w:tab w:val="left" w:pos="837"/>
        </w:tabs>
        <w:jc w:val="both"/>
      </w:pPr>
      <w:r>
        <w:t>način obračuna naknade za gradnju građevina za gospodarenje komunalnim</w:t>
      </w:r>
      <w:r>
        <w:rPr>
          <w:spacing w:val="-14"/>
        </w:rPr>
        <w:t xml:space="preserve"> </w:t>
      </w:r>
      <w:r>
        <w:t>otpadom.</w:t>
      </w:r>
    </w:p>
    <w:p w:rsidR="002F2D47" w:rsidRDefault="00F77E71" w:rsidP="00F77E71">
      <w:pPr>
        <w:pStyle w:val="Tijeloteksta"/>
        <w:ind w:right="117"/>
      </w:pPr>
      <w:r>
        <w:t>Cilj Odluke je uspostava javnog, kvalitetnog, postojanog i ekonomski učinkovitog sustava sakupljanja komunalnog otpada na području Općine Popovac, u skladu s načelima održivog razvoja, zaštite okoliša, gospodarenja otpadom i zaštitom javnog interesa.</w:t>
      </w:r>
    </w:p>
    <w:p w:rsidR="002F2D47" w:rsidRDefault="00F77E71" w:rsidP="00F77E71">
      <w:pPr>
        <w:pStyle w:val="Tijeloteksta"/>
      </w:pPr>
      <w:r>
        <w:t xml:space="preserve">S ciljem da se širi krug zainteresiranih osoba s područja Općine </w:t>
      </w:r>
      <w:r w:rsidR="00276719">
        <w:t>Popovac</w:t>
      </w:r>
      <w:r>
        <w:t xml:space="preserve"> uključi u pripremu konačnog Nacrta odluke provest će se savjetovanje sa zainteresiranom javnošću.</w:t>
      </w:r>
      <w:r>
        <w:rPr>
          <w:spacing w:val="-16"/>
        </w:rPr>
        <w:t xml:space="preserve"> </w:t>
      </w:r>
      <w:r>
        <w:t>Savjetovanje</w:t>
      </w:r>
      <w:r>
        <w:rPr>
          <w:spacing w:val="-16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provodi</w:t>
      </w:r>
      <w:r>
        <w:rPr>
          <w:spacing w:val="-14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roku</w:t>
      </w:r>
      <w:r>
        <w:rPr>
          <w:spacing w:val="-16"/>
        </w:rPr>
        <w:t xml:space="preserve"> </w:t>
      </w:r>
      <w:r>
        <w:t>19</w:t>
      </w:r>
      <w:r>
        <w:rPr>
          <w:spacing w:val="-13"/>
        </w:rPr>
        <w:t xml:space="preserve"> </w:t>
      </w:r>
      <w:r>
        <w:t>dana,</w:t>
      </w:r>
      <w:r>
        <w:rPr>
          <w:spacing w:val="-15"/>
        </w:rPr>
        <w:t xml:space="preserve"> </w:t>
      </w:r>
      <w:r>
        <w:t>s</w:t>
      </w:r>
      <w:r>
        <w:rPr>
          <w:spacing w:val="-13"/>
        </w:rPr>
        <w:t xml:space="preserve"> </w:t>
      </w:r>
      <w:r>
        <w:t>obzirom</w:t>
      </w:r>
      <w:r>
        <w:rPr>
          <w:spacing w:val="-15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kratak</w:t>
      </w:r>
      <w:r>
        <w:rPr>
          <w:spacing w:val="-13"/>
        </w:rPr>
        <w:t xml:space="preserve"> </w:t>
      </w:r>
      <w:r>
        <w:t>rok</w:t>
      </w:r>
      <w:r>
        <w:rPr>
          <w:spacing w:val="-16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donošenja</w:t>
      </w:r>
      <w:r>
        <w:rPr>
          <w:spacing w:val="-14"/>
        </w:rPr>
        <w:t xml:space="preserve"> </w:t>
      </w:r>
      <w:r>
        <w:t xml:space="preserve">Uredbe do obveza donošenja Odluke (svega 3 mjeseca). Kako sukladno Zakonu JLS imaju propisanu obvezu donošenja općeg akta, a koji se vezuje na Uredbu i na više </w:t>
      </w:r>
      <w:proofErr w:type="spellStart"/>
      <w:r>
        <w:t>podzakonskih</w:t>
      </w:r>
      <w:proofErr w:type="spellEnd"/>
      <w:r>
        <w:t xml:space="preserve"> i zakonskih akata, te kratak rok usklađenja, kod savjetovanja je odstupljeno od roka savjetovanja od 30 dana koje u pravilu traje sukladno</w:t>
      </w:r>
      <w:r>
        <w:rPr>
          <w:spacing w:val="-1"/>
        </w:rPr>
        <w:t xml:space="preserve"> </w:t>
      </w:r>
      <w:r>
        <w:t>Zakonu.</w:t>
      </w:r>
    </w:p>
    <w:p w:rsidR="002F2D47" w:rsidRDefault="00F77E71" w:rsidP="00F77E71">
      <w:pPr>
        <w:pStyle w:val="Tijeloteksta"/>
        <w:ind w:right="115"/>
      </w:pPr>
      <w:r>
        <w:t>Na taj se način želi upoznati javnost sa Nacrtom prijedloga odluke i pribaviti</w:t>
      </w:r>
      <w:r>
        <w:rPr>
          <w:spacing w:val="-21"/>
        </w:rPr>
        <w:t xml:space="preserve"> </w:t>
      </w:r>
      <w:r>
        <w:t>mišljenja, primjedbe</w:t>
      </w:r>
      <w:r>
        <w:rPr>
          <w:spacing w:val="-1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prijedloge</w:t>
      </w:r>
      <w:r>
        <w:rPr>
          <w:spacing w:val="-10"/>
        </w:rPr>
        <w:t xml:space="preserve"> </w:t>
      </w:r>
      <w:r>
        <w:t>zainteresirane</w:t>
      </w:r>
      <w:r>
        <w:rPr>
          <w:spacing w:val="-11"/>
        </w:rPr>
        <w:t xml:space="preserve"> </w:t>
      </w:r>
      <w:r>
        <w:t>javnosti,</w:t>
      </w:r>
      <w:r>
        <w:rPr>
          <w:spacing w:val="-9"/>
        </w:rPr>
        <w:t xml:space="preserve"> </w:t>
      </w:r>
      <w:r>
        <w:t>kako</w:t>
      </w:r>
      <w:r>
        <w:rPr>
          <w:spacing w:val="-10"/>
        </w:rPr>
        <w:t xml:space="preserve"> </w:t>
      </w:r>
      <w:r>
        <w:t>bi</w:t>
      </w:r>
      <w:r>
        <w:rPr>
          <w:spacing w:val="-8"/>
        </w:rPr>
        <w:t xml:space="preserve"> </w:t>
      </w:r>
      <w:r>
        <w:t>predloženo,</w:t>
      </w:r>
      <w:r>
        <w:rPr>
          <w:spacing w:val="-10"/>
        </w:rPr>
        <w:t xml:space="preserve"> </w:t>
      </w:r>
      <w:r>
        <w:t>ukoliko</w:t>
      </w:r>
      <w:r>
        <w:rPr>
          <w:spacing w:val="-8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zakonito</w:t>
      </w:r>
      <w:r>
        <w:rPr>
          <w:spacing w:val="-1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stručno utemeljeno, bilo prihvaćeno od strane donositelja odluke i u konačnosti ugrađeno u odredbe odluke.</w:t>
      </w:r>
    </w:p>
    <w:sectPr w:rsidR="002F2D47" w:rsidSect="002F2D47">
      <w:type w:val="continuous"/>
      <w:pgSz w:w="11910" w:h="16840"/>
      <w:pgMar w:top="104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F2BDC"/>
    <w:multiLevelType w:val="hybridMultilevel"/>
    <w:tmpl w:val="666EF510"/>
    <w:lvl w:ilvl="0" w:tplc="1A825DA8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4EACB6AE">
      <w:numFmt w:val="bullet"/>
      <w:lvlText w:val="•"/>
      <w:lvlJc w:val="left"/>
      <w:pPr>
        <w:ind w:left="1686" w:hanging="360"/>
      </w:pPr>
      <w:rPr>
        <w:rFonts w:hint="default"/>
        <w:lang w:val="hr-HR" w:eastAsia="hr-HR" w:bidi="hr-HR"/>
      </w:rPr>
    </w:lvl>
    <w:lvl w:ilvl="2" w:tplc="BC881C92">
      <w:numFmt w:val="bullet"/>
      <w:lvlText w:val="•"/>
      <w:lvlJc w:val="left"/>
      <w:pPr>
        <w:ind w:left="2533" w:hanging="360"/>
      </w:pPr>
      <w:rPr>
        <w:rFonts w:hint="default"/>
        <w:lang w:val="hr-HR" w:eastAsia="hr-HR" w:bidi="hr-HR"/>
      </w:rPr>
    </w:lvl>
    <w:lvl w:ilvl="3" w:tplc="59F20330">
      <w:numFmt w:val="bullet"/>
      <w:lvlText w:val="•"/>
      <w:lvlJc w:val="left"/>
      <w:pPr>
        <w:ind w:left="3379" w:hanging="360"/>
      </w:pPr>
      <w:rPr>
        <w:rFonts w:hint="default"/>
        <w:lang w:val="hr-HR" w:eastAsia="hr-HR" w:bidi="hr-HR"/>
      </w:rPr>
    </w:lvl>
    <w:lvl w:ilvl="4" w:tplc="88CED7DA">
      <w:numFmt w:val="bullet"/>
      <w:lvlText w:val="•"/>
      <w:lvlJc w:val="left"/>
      <w:pPr>
        <w:ind w:left="4226" w:hanging="360"/>
      </w:pPr>
      <w:rPr>
        <w:rFonts w:hint="default"/>
        <w:lang w:val="hr-HR" w:eastAsia="hr-HR" w:bidi="hr-HR"/>
      </w:rPr>
    </w:lvl>
    <w:lvl w:ilvl="5" w:tplc="5B066DF6">
      <w:numFmt w:val="bullet"/>
      <w:lvlText w:val="•"/>
      <w:lvlJc w:val="left"/>
      <w:pPr>
        <w:ind w:left="5073" w:hanging="360"/>
      </w:pPr>
      <w:rPr>
        <w:rFonts w:hint="default"/>
        <w:lang w:val="hr-HR" w:eastAsia="hr-HR" w:bidi="hr-HR"/>
      </w:rPr>
    </w:lvl>
    <w:lvl w:ilvl="6" w:tplc="DFDA7136">
      <w:numFmt w:val="bullet"/>
      <w:lvlText w:val="•"/>
      <w:lvlJc w:val="left"/>
      <w:pPr>
        <w:ind w:left="5919" w:hanging="360"/>
      </w:pPr>
      <w:rPr>
        <w:rFonts w:hint="default"/>
        <w:lang w:val="hr-HR" w:eastAsia="hr-HR" w:bidi="hr-HR"/>
      </w:rPr>
    </w:lvl>
    <w:lvl w:ilvl="7" w:tplc="A358D2E8">
      <w:numFmt w:val="bullet"/>
      <w:lvlText w:val="•"/>
      <w:lvlJc w:val="left"/>
      <w:pPr>
        <w:ind w:left="6766" w:hanging="360"/>
      </w:pPr>
      <w:rPr>
        <w:rFonts w:hint="default"/>
        <w:lang w:val="hr-HR" w:eastAsia="hr-HR" w:bidi="hr-HR"/>
      </w:rPr>
    </w:lvl>
    <w:lvl w:ilvl="8" w:tplc="BB3A5AF0">
      <w:numFmt w:val="bullet"/>
      <w:lvlText w:val="•"/>
      <w:lvlJc w:val="left"/>
      <w:pPr>
        <w:ind w:left="7613" w:hanging="360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F2D47"/>
    <w:rsid w:val="00276719"/>
    <w:rsid w:val="002F2D47"/>
    <w:rsid w:val="00506F39"/>
    <w:rsid w:val="00F7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2D47"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2D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2F2D47"/>
    <w:pPr>
      <w:ind w:left="116" w:right="116" w:firstLine="707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2F2D47"/>
    <w:pPr>
      <w:spacing w:line="252" w:lineRule="exact"/>
      <w:ind w:left="836" w:hanging="360"/>
    </w:pPr>
  </w:style>
  <w:style w:type="paragraph" w:customStyle="1" w:styleId="TableParagraph">
    <w:name w:val="Table Paragraph"/>
    <w:basedOn w:val="Normal"/>
    <w:uiPriority w:val="1"/>
    <w:qFormat/>
    <w:rsid w:val="002F2D4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3070</Characters>
  <Application>Microsoft Office Word</Application>
  <DocSecurity>0</DocSecurity>
  <Lines>25</Lines>
  <Paragraphs>7</Paragraphs>
  <ScaleCrop>false</ScaleCrop>
  <Company>Your Company Name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Kneževi Vinogradi Željka Kolarić</dc:creator>
  <cp:lastModifiedBy>Your User Name</cp:lastModifiedBy>
  <cp:revision>2</cp:revision>
  <dcterms:created xsi:type="dcterms:W3CDTF">2018-01-30T14:56:00Z</dcterms:created>
  <dcterms:modified xsi:type="dcterms:W3CDTF">2018-01-30T14:56:00Z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2018-01-25T00:00:00Z</vt:filetime>
  </property>
</Properties>
</file>